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7.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en-US" w:eastAsia="en-US"/>
        </w:rPr>
      </w:pPr>
      <w:r>
        <w:rPr/>
        <w:t>A98-Eur-Greece-Figurine-Boar-Terracotta-</w:t>
      </w:r>
      <w:r>
        <w:rPr>
          <w:rStyle w:val="Value"/>
          <w:bCs/>
        </w:rPr>
        <w:t>5th Century BCE</w:t>
      </w:r>
      <w:r>
        <w:rPr>
          <w:bCs/>
        </w:rPr>
        <w:t xml:space="preserve"> </w:t>
      </w:r>
      <w:r>
        <w:rPr>
          <w:b/>
          <w:bCs/>
        </w:rPr>
        <w:br/>
      </w:r>
      <w:r>
        <w:rPr>
          <w:lang w:val="en-US" w:eastAsia="en-US"/>
        </w:rPr>
        <w:drawing>
          <wp:inline distT="0" distB="0" distL="0" distR="0">
            <wp:extent cx="3589020" cy="178435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6" t="-12" r="-6" b="-12"/>
                    <a:stretch>
                      <a:fillRect/>
                    </a:stretch>
                  </pic:blipFill>
                  <pic:spPr bwMode="auto">
                    <a:xfrm>
                      <a:off x="0" y="0"/>
                      <a:ext cx="3589020" cy="1784350"/>
                    </a:xfrm>
                    <a:prstGeom prst="rect">
                      <a:avLst/>
                    </a:prstGeom>
                  </pic:spPr>
                </pic:pic>
              </a:graphicData>
            </a:graphic>
          </wp:inline>
        </w:drawing>
      </w:r>
      <w:r>
        <w:rPr>
          <w:lang w:val="en-US" w:eastAsia="en-US"/>
        </w:rPr>
        <w:t xml:space="preserve"> </w:t>
      </w:r>
      <w:r>
        <w:rPr>
          <w:lang w:val="en-US" w:eastAsia="en-US"/>
        </w:rPr>
        <w:drawing>
          <wp:inline distT="0" distB="0" distL="0" distR="0">
            <wp:extent cx="3092450" cy="213995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5" t="-8" r="-5" b="-8"/>
                    <a:stretch>
                      <a:fillRect/>
                    </a:stretch>
                  </pic:blipFill>
                  <pic:spPr bwMode="auto">
                    <a:xfrm>
                      <a:off x="0" y="0"/>
                      <a:ext cx="3092450" cy="2139950"/>
                    </a:xfrm>
                    <a:prstGeom prst="rect">
                      <a:avLst/>
                    </a:prstGeom>
                  </pic:spPr>
                </pic:pic>
              </a:graphicData>
            </a:graphic>
          </wp:inline>
        </w:drawing>
      </w:r>
      <w:r>
        <w:rPr>
          <w:lang w:val="en-US" w:eastAsia="en-US"/>
        </w:rPr>
        <w:t xml:space="preserve">  </w:t>
      </w:r>
    </w:p>
    <w:p>
      <w:pPr>
        <w:pStyle w:val="Normal"/>
        <w:rPr/>
      </w:pPr>
      <w:r>
        <w:rPr>
          <w:lang w:val="en-US" w:eastAsia="en-US"/>
        </w:rPr>
        <w:drawing>
          <wp:inline distT="0" distB="0" distL="0" distR="0">
            <wp:extent cx="3630295" cy="221107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6" t="-9" r="-6" b="-9"/>
                    <a:stretch>
                      <a:fillRect/>
                    </a:stretch>
                  </pic:blipFill>
                  <pic:spPr bwMode="auto">
                    <a:xfrm>
                      <a:off x="0" y="0"/>
                      <a:ext cx="3630295" cy="2211070"/>
                    </a:xfrm>
                    <a:prstGeom prst="rect">
                      <a:avLst/>
                    </a:prstGeom>
                  </pic:spPr>
                </pic:pic>
              </a:graphicData>
            </a:graphic>
          </wp:inline>
        </w:drawing>
      </w:r>
      <w:r>
        <w:rPr>
          <w:lang w:val="en-US" w:eastAsia="en-US"/>
        </w:rPr>
        <w:drawing>
          <wp:inline distT="0" distB="0" distL="0" distR="0">
            <wp:extent cx="3036570" cy="241744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6" t="-7" r="-6" b="-7"/>
                    <a:stretch>
                      <a:fillRect/>
                    </a:stretch>
                  </pic:blipFill>
                  <pic:spPr bwMode="auto">
                    <a:xfrm>
                      <a:off x="0" y="0"/>
                      <a:ext cx="3036570" cy="2417445"/>
                    </a:xfrm>
                    <a:prstGeom prst="rect">
                      <a:avLst/>
                    </a:prstGeom>
                  </pic:spPr>
                </pic:pic>
              </a:graphicData>
            </a:graphic>
          </wp:inline>
        </w:drawing>
      </w:r>
    </w:p>
    <w:p>
      <w:pPr>
        <w:pStyle w:val="Normal"/>
        <w:rPr/>
      </w:pPr>
      <w:r>
        <w:rPr/>
        <w:t xml:space="preserve">Figs. 1-4. Greek Terracotta Figurine of a Wild Boar, 5th Century BCE </w:t>
      </w:r>
    </w:p>
    <w:p>
      <w:pPr>
        <w:pStyle w:val="Normal"/>
        <w:rPr/>
      </w:pPr>
      <w:r>
        <w:rPr>
          <w:rStyle w:val="StrongEmphasis"/>
        </w:rPr>
        <w:t>Case no.: 4</w:t>
      </w:r>
    </w:p>
    <w:p>
      <w:pPr>
        <w:pStyle w:val="Normal"/>
        <w:rPr>
          <w:rStyle w:val="StrongEmphasis"/>
        </w:rPr>
      </w:pPr>
      <w:r>
        <w:rPr>
          <w:rStyle w:val="StrongEmphasis"/>
        </w:rPr>
        <w:t xml:space="preserve">Accession Number: </w:t>
      </w:r>
      <w:r>
        <w:rPr>
          <w:rStyle w:val="StrongEmphasis"/>
          <w:b w:val="false"/>
        </w:rPr>
        <w:t>A98</w:t>
      </w:r>
    </w:p>
    <w:p>
      <w:pPr>
        <w:pStyle w:val="Normal"/>
        <w:rPr>
          <w:rStyle w:val="StrongEmphasis"/>
        </w:rPr>
      </w:pPr>
      <w:r>
        <w:rPr>
          <w:rStyle w:val="StrongEmphasis"/>
        </w:rPr>
        <w:t xml:space="preserve">Formal Label: </w:t>
      </w:r>
      <w:r>
        <w:rPr/>
        <w:t>Greek Terracotta Figurine of a Wild Boar, 5th Century BCE</w:t>
      </w:r>
    </w:p>
    <w:p>
      <w:pPr>
        <w:pStyle w:val="Normal"/>
        <w:rPr>
          <w:b/>
          <w:b/>
          <w:bCs/>
        </w:rPr>
      </w:pPr>
      <w:r>
        <w:rPr>
          <w:b/>
          <w:bCs/>
        </w:rPr>
        <w:t>Display Description:</w:t>
      </w:r>
    </w:p>
    <w:p>
      <w:pPr>
        <w:pStyle w:val="Normal"/>
        <w:rPr/>
      </w:pPr>
      <w:r>
        <w:rPr/>
        <w:tab/>
        <w:t xml:space="preserve">This solid, light-buff, terracotta figurine of a standing wild boar has molded ears, a pointed snout and a ridged back. Originally, the figurine was coated with a white kaolin slip, which has partly eroded. </w:t>
      </w:r>
    </w:p>
    <w:p>
      <w:pPr>
        <w:pStyle w:val="Normal"/>
        <w:rPr/>
      </w:pPr>
      <w:r>
        <w:rPr/>
        <w:tab/>
        <w:t xml:space="preserve">The dark underworld connects the wild boar, an animal who lives in an underground burrow, and Demeter, who sought to retrieve her daughter from the underground cave at Eleusis where she was being held by Hades. Boar figurines were offered as votive objects to the goddess as companions in her search. Boar votive figurines have also been found buried with the dead to accompany them in their dark underworld abode. </w:t>
      </w:r>
    </w:p>
    <w:p>
      <w:pPr>
        <w:pStyle w:val="Normal"/>
        <w:rPr>
          <w:b/>
          <w:b/>
          <w:bCs/>
        </w:rPr>
      </w:pPr>
      <w:r>
        <w:rPr>
          <w:b/>
          <w:bCs/>
        </w:rPr>
      </w:r>
    </w:p>
    <w:p>
      <w:pPr>
        <w:pStyle w:val="Normal"/>
        <w:rPr>
          <w:b/>
          <w:b/>
          <w:bCs/>
          <w:color w:val="000000"/>
        </w:rPr>
      </w:pPr>
      <w:r>
        <w:rPr>
          <w:b/>
          <w:bCs/>
        </w:rPr>
        <w:t xml:space="preserve">LC Classification: </w:t>
      </w:r>
      <w:r>
        <w:rPr>
          <w:color w:val="000000"/>
        </w:rPr>
        <w:t> </w:t>
      </w:r>
      <w:hyperlink r:id="rId6">
        <w:r>
          <w:rPr>
            <w:rStyle w:val="InternetLink"/>
            <w:color w:val="000000"/>
            <w:u w:val="none"/>
          </w:rPr>
          <w:t>DF 221 E4 </w:t>
        </w:r>
      </w:hyperlink>
    </w:p>
    <w:p>
      <w:pPr>
        <w:pStyle w:val="Normal"/>
        <w:rPr/>
      </w:pPr>
      <w:r>
        <w:rPr>
          <w:rStyle w:val="StrongEmphasis"/>
        </w:rPr>
        <w:t>Date or Time Horizon:</w:t>
      </w:r>
      <w:r>
        <w:rPr/>
        <w:t xml:space="preserve"> 5</w:t>
      </w:r>
      <w:r>
        <w:rPr>
          <w:vertAlign w:val="superscript"/>
        </w:rPr>
        <w:t>th</w:t>
      </w:r>
      <w:r>
        <w:rPr/>
        <w:t xml:space="preserve"> century BCE</w:t>
      </w:r>
    </w:p>
    <w:p>
      <w:pPr>
        <w:pStyle w:val="Normal"/>
        <w:rPr/>
      </w:pPr>
      <w:r>
        <w:rPr>
          <w:rStyle w:val="StrongEmphasis"/>
        </w:rPr>
        <w:t>Geographical Area:</w:t>
      </w:r>
      <w:r>
        <w:rPr/>
        <w:t xml:space="preserve"> Piraeus, Greece</w:t>
      </w:r>
    </w:p>
    <w:p>
      <w:pPr>
        <w:pStyle w:val="Normal"/>
        <w:rPr>
          <w:rStyle w:val="Numbers"/>
        </w:rPr>
      </w:pPr>
      <w:r>
        <w:rPr>
          <w:b/>
        </w:rPr>
        <w:t xml:space="preserve">Map, GPS coordinates: </w:t>
      </w:r>
      <w:r>
        <w:rPr>
          <w:b/>
          <w:bCs/>
        </w:rPr>
        <w:t> </w:t>
      </w:r>
      <w:r>
        <w:rPr>
          <w:rStyle w:val="Numbers"/>
        </w:rPr>
        <w:t xml:space="preserve">38°2'27"N 23°32'14"E </w:t>
      </w:r>
    </w:p>
    <w:p>
      <w:pPr>
        <w:pStyle w:val="Normal"/>
        <w:rPr>
          <w:b/>
          <w:b/>
        </w:rPr>
      </w:pPr>
      <w:r>
        <w:rPr>
          <w:lang w:val="en-US" w:eastAsia="en-US"/>
        </w:rPr>
        <w:drawing>
          <wp:inline distT="0" distB="0" distL="0" distR="0">
            <wp:extent cx="6858000" cy="2954655"/>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7"/>
                    <a:srcRect l="-6" t="-15" r="-6" b="-15"/>
                    <a:stretch>
                      <a:fillRect/>
                    </a:stretch>
                  </pic:blipFill>
                  <pic:spPr bwMode="auto">
                    <a:xfrm>
                      <a:off x="0" y="0"/>
                      <a:ext cx="6858000" cy="2954655"/>
                    </a:xfrm>
                    <a:prstGeom prst="rect">
                      <a:avLst/>
                    </a:prstGeom>
                  </pic:spPr>
                </pic:pic>
              </a:graphicData>
            </a:graphic>
          </wp:inline>
        </w:drawing>
      </w:r>
    </w:p>
    <w:p>
      <w:pPr>
        <w:pStyle w:val="Normal"/>
        <w:rPr/>
      </w:pPr>
      <w:r>
        <w:rPr>
          <w:rStyle w:val="StrongEmphasis"/>
        </w:rPr>
        <w:t>Cultural Affiliation:</w:t>
      </w:r>
      <w:r>
        <w:rPr/>
        <w:t xml:space="preserve"> Greek</w:t>
      </w:r>
    </w:p>
    <w:p>
      <w:pPr>
        <w:pStyle w:val="Normal"/>
        <w:rPr/>
      </w:pPr>
      <w:r>
        <w:rPr>
          <w:rStyle w:val="StrongEmphasis"/>
        </w:rPr>
        <w:t>Media:</w:t>
      </w:r>
      <w:r>
        <w:rPr/>
        <w:t xml:space="preserve"> terracotta, white kaolin slip</w:t>
      </w:r>
    </w:p>
    <w:p>
      <w:pPr>
        <w:pStyle w:val="Normal"/>
        <w:rPr/>
      </w:pPr>
      <w:r>
        <w:rPr>
          <w:rStyle w:val="StrongEmphasis"/>
        </w:rPr>
        <w:t>Dimensions:</w:t>
      </w:r>
      <w:r>
        <w:rPr/>
        <w:t xml:space="preserve"> H 44 mm; L 90 mm  </w:t>
      </w:r>
    </w:p>
    <w:p>
      <w:pPr>
        <w:pStyle w:val="Normal"/>
        <w:rPr>
          <w:rStyle w:val="StrongEmphasis"/>
        </w:rPr>
      </w:pPr>
      <w:r>
        <w:rPr>
          <w:rStyle w:val="StrongEmphasis"/>
        </w:rPr>
        <w:t xml:space="preserve">Weight:   </w:t>
      </w:r>
      <w:r>
        <w:rPr>
          <w:rStyle w:val="StrongEmphasis"/>
          <w:b w:val="false"/>
        </w:rPr>
        <w:t>104 g; 3 5/8 oz</w:t>
      </w:r>
    </w:p>
    <w:p>
      <w:pPr>
        <w:pStyle w:val="Normal"/>
        <w:rPr>
          <w:rStyle w:val="StrongEmphasis"/>
        </w:rPr>
      </w:pPr>
      <w:r>
        <w:rPr>
          <w:rStyle w:val="StrongEmphasis"/>
        </w:rPr>
        <w:t xml:space="preserve">Condition: </w:t>
      </w:r>
      <w:r>
        <w:rPr>
          <w:rStyle w:val="StrongEmphasis"/>
          <w:b w:val="false"/>
        </w:rPr>
        <w:t>original</w:t>
      </w:r>
    </w:p>
    <w:p>
      <w:pPr>
        <w:pStyle w:val="Normal"/>
        <w:rPr>
          <w:b/>
          <w:b/>
          <w:bCs/>
        </w:rPr>
      </w:pPr>
      <w:r>
        <w:rPr>
          <w:rStyle w:val="StrongEmphasis"/>
        </w:rPr>
        <w:t>Provenance:</w:t>
      </w:r>
      <w:r>
        <w:rPr/>
        <w:t xml:space="preserve"> unknown</w:t>
      </w:r>
    </w:p>
    <w:p>
      <w:pPr>
        <w:pStyle w:val="Normal"/>
        <w:rPr/>
      </w:pPr>
      <w:r>
        <w:rPr>
          <w:b/>
          <w:bCs/>
        </w:rPr>
        <w:t>Discussion:</w:t>
      </w:r>
      <w:r>
        <w:rPr/>
        <w:tab/>
        <w:t xml:space="preserve"> </w:t>
      </w:r>
    </w:p>
    <w:p>
      <w:pPr>
        <w:pStyle w:val="Normal"/>
        <w:rPr/>
      </w:pPr>
      <w:r>
        <w:rPr/>
        <w:tab/>
        <w:t>Two festivals involved the bestowing of boar figurines as votive offerings. The first is the Skirophoria, an annual Athenian festival organized by women after the harvest at threshing time on the 12th of Skirophorion (</w:t>
      </w:r>
      <w:r>
        <w:rPr>
          <w:color w:val="222222"/>
          <w:shd w:fill="FFFFFF" w:val="clear"/>
        </w:rPr>
        <w:t>Σκιροφοριών</w:t>
      </w:r>
      <w:r>
        <w:rPr/>
        <w:t>) corresponding to June-July, the last Attic calendar month (</w:t>
      </w:r>
      <w:r>
        <w:rPr>
          <w:rStyle w:val="Referencetext"/>
        </w:rPr>
        <w:t>Burkert, Walter. 1983 [1972]: 143-149)</w:t>
      </w:r>
      <w:r>
        <w:rPr/>
        <w:t>. Skirophoria</w:t>
      </w:r>
      <w:r>
        <w:rPr>
          <w:color w:val="222222"/>
          <w:shd w:fill="FFFFFF" w:val="clear"/>
        </w:rPr>
        <w:t xml:space="preserve"> was proverbial for license in which the social order was inverted, the bonds of marriage suspended, women were left to band together and were free to leave the quarters where they were customarily confined.</w:t>
      </w:r>
      <w:r>
        <w:rPr/>
        <w:t xml:space="preserve"> At Skiron on the road to Eleusis (where Skiros, an Eleusinian seer had been killed in battle with Athens) </w:t>
      </w:r>
      <w:r>
        <w:rPr>
          <w:color w:val="222222"/>
          <w:shd w:fill="FFFFFF" w:val="clear"/>
        </w:rPr>
        <w:t>a ceremony was held in the sanctuary of Demeter and Persephone where votive objects like this boar figurine were offered to those who had fallen in battle.</w:t>
      </w:r>
      <w:r>
        <w:rPr/>
        <w:t xml:space="preserve"> </w:t>
      </w:r>
    </w:p>
    <w:p>
      <w:pPr>
        <w:pStyle w:val="Normal"/>
        <w:rPr/>
      </w:pPr>
      <w:r>
        <w:rPr/>
        <w:tab/>
        <w:t xml:space="preserve">The following festival, the Thesmophoria, celebrated human fertility and was observed only by women </w:t>
      </w:r>
      <w:r>
        <w:rPr>
          <w:rStyle w:val="Hvr"/>
          <w:color w:val="404040"/>
          <w:shd w:fill="FFFFFF" w:val="clear"/>
        </w:rPr>
        <w:t>for three</w:t>
      </w:r>
      <w:r>
        <w:rPr>
          <w:color w:val="404040"/>
          <w:shd w:fill="FFFFFF" w:val="clear"/>
        </w:rPr>
        <w:t> </w:t>
      </w:r>
      <w:r>
        <w:rPr>
          <w:rStyle w:val="Hvr"/>
          <w:color w:val="404040"/>
          <w:shd w:fill="FFFFFF" w:val="clear"/>
        </w:rPr>
        <w:t>days</w:t>
      </w:r>
      <w:r>
        <w:rPr>
          <w:color w:val="404040"/>
          <w:shd w:fill="FFFFFF" w:val="clear"/>
        </w:rPr>
        <w:t> in </w:t>
      </w:r>
      <w:r>
        <w:rPr>
          <w:rStyle w:val="Hvr"/>
          <w:color w:val="404040"/>
          <w:shd w:fill="FFFFFF" w:val="clear"/>
        </w:rPr>
        <w:t>October</w:t>
      </w:r>
      <w:r>
        <w:rPr>
          <w:color w:val="404040"/>
          <w:shd w:fill="FFFFFF" w:val="clear"/>
        </w:rPr>
        <w:t> </w:t>
      </w:r>
      <w:r>
        <w:rPr>
          <w:rStyle w:val="Hvr"/>
          <w:color w:val="404040"/>
          <w:shd w:fill="FFFFFF" w:val="clear"/>
        </w:rPr>
        <w:t>(between</w:t>
      </w:r>
      <w:r>
        <w:rPr>
          <w:color w:val="404040"/>
          <w:shd w:fill="FFFFFF" w:val="clear"/>
        </w:rPr>
        <w:t> </w:t>
      </w:r>
      <w:r>
        <w:rPr>
          <w:rStyle w:val="Hvr"/>
          <w:color w:val="404040"/>
          <w:shd w:fill="FFFFFF" w:val="clear"/>
        </w:rPr>
        <w:t>the</w:t>
      </w:r>
      <w:r>
        <w:rPr>
          <w:color w:val="404040"/>
          <w:shd w:fill="FFFFFF" w:val="clear"/>
        </w:rPr>
        <w:t> </w:t>
      </w:r>
      <w:r>
        <w:rPr>
          <w:rStyle w:val="Hvr"/>
          <w:color w:val="404040"/>
          <w:shd w:fill="FFFFFF" w:val="clear"/>
        </w:rPr>
        <w:t>eleventh</w:t>
      </w:r>
      <w:r>
        <w:rPr>
          <w:color w:val="404040"/>
          <w:shd w:fill="FFFFFF" w:val="clear"/>
        </w:rPr>
        <w:t> </w:t>
      </w:r>
      <w:r>
        <w:rPr>
          <w:rStyle w:val="Hvr"/>
          <w:color w:val="404040"/>
          <w:shd w:fill="FFFFFF" w:val="clear"/>
        </w:rPr>
        <w:t>and</w:t>
      </w:r>
      <w:r>
        <w:rPr>
          <w:color w:val="404040"/>
          <w:shd w:fill="FFFFFF" w:val="clear"/>
        </w:rPr>
        <w:t> </w:t>
      </w:r>
      <w:r>
        <w:rPr>
          <w:rStyle w:val="Hvr"/>
          <w:color w:val="404040"/>
          <w:shd w:fill="FFFFFF" w:val="clear"/>
        </w:rPr>
        <w:t>the</w:t>
      </w:r>
      <w:r>
        <w:rPr>
          <w:color w:val="404040"/>
          <w:shd w:fill="FFFFFF" w:val="clear"/>
        </w:rPr>
        <w:t> </w:t>
      </w:r>
      <w:r>
        <w:rPr>
          <w:rStyle w:val="Hvr"/>
          <w:color w:val="404040"/>
          <w:shd w:fill="FFFFFF" w:val="clear"/>
        </w:rPr>
        <w:t>thirteenth),</w:t>
      </w:r>
      <w:r>
        <w:rPr>
          <w:color w:val="404040"/>
          <w:shd w:fill="FFFFFF" w:val="clear"/>
        </w:rPr>
        <w:t> </w:t>
      </w:r>
      <w:r>
        <w:rPr>
          <w:rStyle w:val="Hvr"/>
          <w:color w:val="404040"/>
          <w:shd w:fill="FFFFFF" w:val="clear"/>
        </w:rPr>
        <w:t>when</w:t>
      </w:r>
      <w:r>
        <w:rPr>
          <w:color w:val="404040"/>
          <w:shd w:fill="FFFFFF" w:val="clear"/>
        </w:rPr>
        <w:t> </w:t>
      </w:r>
      <w:r>
        <w:rPr>
          <w:rStyle w:val="Hvr"/>
          <w:color w:val="404040"/>
          <w:shd w:fill="FFFFFF" w:val="clear"/>
        </w:rPr>
        <w:t>the</w:t>
      </w:r>
      <w:r>
        <w:rPr>
          <w:color w:val="404040"/>
          <w:shd w:fill="FFFFFF" w:val="clear"/>
        </w:rPr>
        <w:t> </w:t>
      </w:r>
      <w:r>
        <w:rPr>
          <w:rStyle w:val="Hvr"/>
          <w:color w:val="404040"/>
          <w:shd w:fill="FFFFFF" w:val="clear"/>
        </w:rPr>
        <w:t>ground</w:t>
      </w:r>
      <w:r>
        <w:rPr>
          <w:color w:val="404040"/>
          <w:shd w:fill="FFFFFF" w:val="clear"/>
        </w:rPr>
        <w:t> </w:t>
      </w:r>
      <w:r>
        <w:rPr>
          <w:rStyle w:val="Hvr"/>
          <w:color w:val="404040"/>
          <w:shd w:fill="FFFFFF" w:val="clear"/>
        </w:rPr>
        <w:t>was</w:t>
      </w:r>
      <w:r>
        <w:rPr>
          <w:color w:val="404040"/>
          <w:shd w:fill="FFFFFF" w:val="clear"/>
        </w:rPr>
        <w:t> </w:t>
      </w:r>
      <w:r>
        <w:rPr>
          <w:rStyle w:val="Hvr"/>
          <w:color w:val="404040"/>
          <w:shd w:fill="FFFFFF" w:val="clear"/>
        </w:rPr>
        <w:t>being</w:t>
      </w:r>
      <w:r>
        <w:rPr/>
        <w:t xml:space="preserve"> </w:t>
      </w:r>
      <w:r>
        <w:rPr>
          <w:rStyle w:val="Hvr"/>
          <w:color w:val="404040"/>
          <w:shd w:fill="FFFFFF" w:val="clear"/>
        </w:rPr>
        <w:t>plowed</w:t>
      </w:r>
      <w:r>
        <w:rPr>
          <w:color w:val="404040"/>
          <w:shd w:fill="FFFFFF" w:val="clear"/>
        </w:rPr>
        <w:t> </w:t>
      </w:r>
      <w:r>
        <w:rPr>
          <w:rStyle w:val="Hvr"/>
          <w:color w:val="404040"/>
          <w:shd w:fill="FFFFFF" w:val="clear"/>
        </w:rPr>
        <w:t>for</w:t>
      </w:r>
      <w:r>
        <w:rPr>
          <w:color w:val="404040"/>
          <w:shd w:fill="FFFFFF" w:val="clear"/>
        </w:rPr>
        <w:t> </w:t>
      </w:r>
      <w:r>
        <w:rPr>
          <w:rStyle w:val="Hvr"/>
          <w:color w:val="404040"/>
          <w:shd w:fill="FFFFFF" w:val="clear"/>
        </w:rPr>
        <w:t>the</w:t>
      </w:r>
      <w:r>
        <w:rPr>
          <w:color w:val="404040"/>
          <w:shd w:fill="FFFFFF" w:val="clear"/>
        </w:rPr>
        <w:t> </w:t>
      </w:r>
      <w:r>
        <w:rPr>
          <w:rStyle w:val="Hvr"/>
          <w:color w:val="404040"/>
          <w:shd w:fill="FFFFFF" w:val="clear"/>
        </w:rPr>
        <w:t>autumn</w:t>
      </w:r>
      <w:r>
        <w:rPr>
          <w:color w:val="404040"/>
          <w:shd w:fill="FFFFFF" w:val="clear"/>
        </w:rPr>
        <w:t> </w:t>
      </w:r>
      <w:r>
        <w:rPr>
          <w:rStyle w:val="Hvr"/>
          <w:color w:val="404040"/>
          <w:shd w:fill="FFFFFF" w:val="clear"/>
        </w:rPr>
        <w:t>sowing</w:t>
      </w:r>
      <w:r>
        <w:rPr>
          <w:color w:val="404040"/>
          <w:shd w:fill="FFFFFF" w:val="clear"/>
        </w:rPr>
        <w:t> of </w:t>
      </w:r>
      <w:r>
        <w:rPr>
          <w:rStyle w:val="Hvr"/>
          <w:color w:val="404040"/>
          <w:shd w:fill="FFFFFF" w:val="clear"/>
        </w:rPr>
        <w:t>crops, which</w:t>
      </w:r>
      <w:r>
        <w:rPr/>
        <w:t xml:space="preserve"> Homer associates with Demeter in the </w:t>
      </w:r>
      <w:r>
        <w:rPr>
          <w:i/>
        </w:rPr>
        <w:t>Iliad</w:t>
      </w:r>
      <w:r>
        <w:rPr/>
        <w:t xml:space="preserve"> (V:500; XIII:322; XXI:76). The </w:t>
      </w:r>
      <w:r>
        <w:rPr>
          <w:i/>
        </w:rPr>
        <w:t>Iliad</w:t>
      </w:r>
      <w:r>
        <w:rPr/>
        <w:t xml:space="preserve"> citations, which may date to the 12th to the 11th centuries BCE, correspond to the period before Ionia was settled in the 11th century BCE, when the Thesmophoria was thought to have been first observed throughout mainland Greece (</w:t>
      </w:r>
      <w:r>
        <w:rPr>
          <w:color w:val="222222"/>
        </w:rPr>
        <w:t xml:space="preserve">Habash 1997). </w:t>
      </w:r>
      <w:r>
        <w:rPr/>
        <w:t xml:space="preserve">In this festival, in which only adult women could participate, on the third day </w:t>
      </w:r>
      <w:r>
        <w:rPr>
          <w:color w:val="222222"/>
          <w:shd w:fill="FFFFFF" w:val="clear"/>
        </w:rPr>
        <w:t>of the Thesmophoria was </w:t>
      </w:r>
      <w:r>
        <w:rPr>
          <w:i/>
          <w:iCs/>
          <w:color w:val="222222"/>
          <w:shd w:fill="FFFFFF" w:val="clear"/>
        </w:rPr>
        <w:t>kalligeneia</w:t>
      </w:r>
      <w:r>
        <w:rPr>
          <w:color w:val="222222"/>
          <w:shd w:fill="FFFFFF" w:val="clear"/>
        </w:rPr>
        <w:t>, or "beautiful birth," when women beseeched the goddess Kalligeneia for their own fertility. At this point,</w:t>
      </w:r>
      <w:r>
        <w:rPr/>
        <w:t xml:space="preserve"> boar figurines, like this one, were offered as votive gifts to </w:t>
      </w:r>
      <w:r>
        <w:rPr>
          <w:color w:val="222222"/>
          <w:shd w:fill="FFFFFF" w:val="clear"/>
        </w:rPr>
        <w:t>Kalligeneia for a safe pregnancy and birth</w:t>
      </w:r>
      <w:r>
        <w:rPr/>
        <w:t xml:space="preserve">. </w:t>
      </w:r>
    </w:p>
    <w:p>
      <w:pPr>
        <w:pStyle w:val="Normal"/>
        <w:rPr>
          <w:lang w:val="en-US" w:eastAsia="en-US"/>
        </w:rPr>
      </w:pPr>
      <w:r>
        <w:rPr>
          <w:lang w:val="en-US" w:eastAsia="en-US"/>
        </w:rPr>
        <w:drawing>
          <wp:inline distT="0" distB="0" distL="0" distR="0">
            <wp:extent cx="2305685" cy="3307715"/>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8"/>
                    <a:srcRect l="-8" t="-6" r="-8" b="-6"/>
                    <a:stretch>
                      <a:fillRect/>
                    </a:stretch>
                  </pic:blipFill>
                  <pic:spPr bwMode="auto">
                    <a:xfrm>
                      <a:off x="0" y="0"/>
                      <a:ext cx="2305685" cy="3307715"/>
                    </a:xfrm>
                    <a:prstGeom prst="rect">
                      <a:avLst/>
                    </a:prstGeom>
                  </pic:spPr>
                </pic:pic>
              </a:graphicData>
            </a:graphic>
          </wp:inline>
        </w:drawing>
      </w:r>
      <w:r>
        <w:rPr>
          <w:rFonts w:eastAsia="Times New Roman"/>
          <w:lang w:val="en-US" w:eastAsia="en-US"/>
        </w:rPr>
        <w:t xml:space="preserve"> </w:t>
      </w:r>
      <w:r>
        <w:rPr>
          <w:rFonts w:eastAsia="Times New Roman"/>
        </w:rPr>
        <w:t xml:space="preserve"> </w:t>
      </w:r>
      <w:r>
        <w:rPr/>
        <w:drawing>
          <wp:inline distT="0" distB="0" distL="0" distR="0">
            <wp:extent cx="2800350" cy="3524885"/>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9"/>
                    <a:srcRect l="-9" t="-7" r="-9" b="-7"/>
                    <a:stretch>
                      <a:fillRect/>
                    </a:stretch>
                  </pic:blipFill>
                  <pic:spPr bwMode="auto">
                    <a:xfrm>
                      <a:off x="0" y="0"/>
                      <a:ext cx="2800350" cy="3524885"/>
                    </a:xfrm>
                    <a:prstGeom prst="rect">
                      <a:avLst/>
                    </a:prstGeom>
                  </pic:spPr>
                </pic:pic>
              </a:graphicData>
            </a:graphic>
          </wp:inline>
        </w:drawing>
      </w:r>
    </w:p>
    <w:p>
      <w:pPr>
        <w:pStyle w:val="Normal"/>
        <w:rPr/>
      </w:pPr>
      <w:r>
        <w:rPr/>
        <w:t>Fig. This Pentelic marble relief, which was found in Eleusis, represents Demeter at left clad in a peplos and holding a scepter in her left hand, offering ears of wheat to Triptolemos, son of Eleusinian king Keleos, to bestow on mankind. At right Persephone, clad in a mantle and holding a torch, blesses Triptolemos with her right hand. Copy of the relief from the 5th century BCE now in the National archaeological museum.</w:t>
      </w:r>
    </w:p>
    <w:p>
      <w:pPr>
        <w:pStyle w:val="Normal"/>
        <w:rPr/>
      </w:pPr>
      <w:r>
        <w:rPr/>
        <w:t>Fig. Relief representing Demeter and her daughter, c 480 BCE. Archaeological Museum, Eleusis 5085 (Preka-Alexandri 1997, p. 29, fig. 1).</w:t>
      </w:r>
    </w:p>
    <w:p>
      <w:pPr>
        <w:pStyle w:val="Normal"/>
        <w:rPr/>
      </w:pPr>
      <w:r>
        <w:rPr/>
      </w:r>
    </w:p>
    <w:p>
      <w:pPr>
        <w:pStyle w:val="Normal"/>
        <w:rPr>
          <w:b/>
          <w:b/>
          <w:bCs/>
        </w:rPr>
      </w:pPr>
      <w:r>
        <w:rPr>
          <w:b/>
          <w:bCs/>
        </w:rPr>
        <w:t>References:</w:t>
      </w:r>
    </w:p>
    <w:p>
      <w:pPr>
        <w:pStyle w:val="Normal"/>
        <w:rPr/>
      </w:pPr>
      <w:r>
        <w:rPr/>
      </w:r>
    </w:p>
    <w:p>
      <w:pPr>
        <w:pStyle w:val="Normal"/>
        <w:rPr/>
      </w:pPr>
      <w:r>
        <w:rPr>
          <w:rStyle w:val="Referencetext"/>
        </w:rPr>
        <w:t xml:space="preserve">Burkert, Walter. 1983 [1972]. </w:t>
      </w:r>
      <w:r>
        <w:rPr>
          <w:rStyle w:val="Referencetext"/>
          <w:i/>
          <w:iCs/>
        </w:rPr>
        <w:t>Homo Necans: The anthropology of ancient Greek sacrificial ritual and myth.</w:t>
      </w:r>
      <w:r>
        <w:rPr>
          <w:rStyle w:val="Referencetext"/>
        </w:rPr>
        <w:t xml:space="preserve"> Berkeley and Los Angeles: University of California Press.</w:t>
      </w:r>
    </w:p>
    <w:p>
      <w:pPr>
        <w:pStyle w:val="Normal"/>
        <w:rPr>
          <w:color w:val="222222"/>
        </w:rPr>
      </w:pPr>
      <w:r>
        <w:rPr>
          <w:color w:val="222222"/>
        </w:rPr>
      </w:r>
    </w:p>
    <w:p>
      <w:pPr>
        <w:pStyle w:val="Normal"/>
        <w:rPr>
          <w:color w:val="222222"/>
        </w:rPr>
      </w:pPr>
      <w:r>
        <w:rPr>
          <w:color w:val="222222"/>
        </w:rPr>
        <w:t>Habash, Martha. 1997. "The Odd Thesmophoria of Aristophanes' </w:t>
      </w:r>
      <w:r>
        <w:rPr>
          <w:i/>
          <w:iCs/>
          <w:color w:val="222222"/>
        </w:rPr>
        <w:t>Thesmophoriazusae,</w:t>
      </w:r>
      <w:r>
        <w:rPr>
          <w:color w:val="222222"/>
        </w:rPr>
        <w:t>" </w:t>
      </w:r>
      <w:r>
        <w:rPr>
          <w:i/>
          <w:iCs/>
          <w:color w:val="222222"/>
        </w:rPr>
        <w:t>Greek, Roman, and Byzantine Studies</w:t>
      </w:r>
      <w:r>
        <w:rPr>
          <w:color w:val="222222"/>
        </w:rPr>
        <w:t xml:space="preserve">, </w:t>
      </w:r>
      <w:r>
        <w:rPr>
          <w:b/>
          <w:bCs/>
          <w:color w:val="222222"/>
        </w:rPr>
        <w:t>38</w:t>
      </w:r>
      <w:r>
        <w:rPr>
          <w:color w:val="222222"/>
        </w:rPr>
        <w:t> (1): 19-40.</w:t>
      </w:r>
    </w:p>
    <w:p>
      <w:pPr>
        <w:pStyle w:val="Normal"/>
        <w:rPr>
          <w:color w:val="222222"/>
        </w:rPr>
      </w:pPr>
      <w:r>
        <w:rPr>
          <w:color w:val="222222"/>
        </w:rPr>
      </w:r>
    </w:p>
    <w:p>
      <w:pPr>
        <w:pStyle w:val="Normal"/>
        <w:rPr/>
      </w:pPr>
      <w:r>
        <w:rPr/>
        <w:t>Preka-Alexandri, K. 1997. Eleusis. Athens: Hellenic Ministry of Culture.</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character" w:styleId="DefaultParagraphFont">
    <w:name w:val="Default Paragraph Font"/>
    <w:qFormat/>
    <w:rPr/>
  </w:style>
  <w:style w:type="character" w:styleId="Applestylespan">
    <w:name w:val="apple-style-span"/>
    <w:basedOn w:val="DefaultParagraphFont"/>
    <w:qFormat/>
    <w:rPr/>
  </w:style>
  <w:style w:type="character" w:styleId="Value">
    <w:name w:val="value"/>
    <w:basedOn w:val="DefaultParagraphFont"/>
    <w:qFormat/>
    <w:rPr/>
  </w:style>
  <w:style w:type="character" w:styleId="InternetLink">
    <w:name w:val="Internet Link"/>
    <w:rPr>
      <w:color w:val="0000FF"/>
      <w:u w:val="single"/>
    </w:rPr>
  </w:style>
  <w:style w:type="character" w:styleId="StrongEmphasis">
    <w:name w:val="Strong Emphasis"/>
    <w:qFormat/>
    <w:rPr>
      <w:b/>
      <w:bCs/>
    </w:rPr>
  </w:style>
  <w:style w:type="character" w:styleId="Srtitle">
    <w:name w:val="srtitle"/>
    <w:qFormat/>
    <w:rPr/>
  </w:style>
  <w:style w:type="character" w:styleId="Emphasis">
    <w:name w:val="Emphasis"/>
    <w:qFormat/>
    <w:rPr>
      <w:i/>
      <w:iCs/>
    </w:rPr>
  </w:style>
  <w:style w:type="character" w:styleId="VisitedInternetLink">
    <w:name w:val="Visited Internet Link"/>
    <w:rPr>
      <w:color w:val="954F72"/>
      <w:u w:val="single"/>
    </w:rPr>
  </w:style>
  <w:style w:type="character" w:styleId="Referencetext">
    <w:name w:val="reference-text"/>
    <w:qFormat/>
    <w:rPr/>
  </w:style>
  <w:style w:type="character" w:styleId="Hvr">
    <w:name w:val="hvr"/>
    <w:qFormat/>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Numbers">
    <w:name w:val="number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catalog.lib.utexas.edu/search~S29?/cDF+221+E4+P73+2000/cdf++221+e4+p73+2000/-3,-1,,B/browse"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jpeg"/><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2017-10-16T02:34:00Z</dcterms:created>
  <dc:creator>Ralph</dc:creator>
  <dc:description/>
  <cp:keywords/>
  <dc:language>en-US</dc:language>
  <cp:lastModifiedBy>Ralph Coffman</cp:lastModifiedBy>
  <dcterms:modified xsi:type="dcterms:W3CDTF">2017-10-16T02:34:00Z</dcterms:modified>
  <cp:revision>2</cp:revision>
  <dc:subject/>
  <dc:title>Dis-Eur-Greece-Figurine-Boar-5th Century BCE</dc:title>
</cp:coreProperties>
</file>